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792F4" w14:textId="77777777" w:rsidR="007434E6" w:rsidRPr="007434E6" w:rsidRDefault="007434E6" w:rsidP="007434E6">
      <w:pPr>
        <w:rPr>
          <w:b/>
          <w:bCs/>
        </w:rPr>
      </w:pPr>
      <w:r w:rsidRPr="007434E6">
        <w:rPr>
          <w:b/>
          <w:bCs/>
        </w:rPr>
        <w:t>Pregabalin</w:t>
      </w:r>
    </w:p>
    <w:p w14:paraId="4CCD8749" w14:textId="77777777" w:rsidR="007434E6" w:rsidRPr="007434E6" w:rsidRDefault="007434E6" w:rsidP="007434E6">
      <w:pPr>
        <w:rPr>
          <w:b/>
          <w:bCs/>
        </w:rPr>
      </w:pPr>
      <w:r w:rsidRPr="007434E6">
        <w:rPr>
          <w:b/>
          <w:bCs/>
        </w:rPr>
        <w:t>(</w:t>
      </w:r>
      <w:proofErr w:type="spellStart"/>
      <w:r w:rsidRPr="007434E6">
        <w:rPr>
          <w:b/>
          <w:bCs/>
        </w:rPr>
        <w:t>Bonqat</w:t>
      </w:r>
      <w:proofErr w:type="spellEnd"/>
      <w:r w:rsidRPr="007434E6">
        <w:rPr>
          <w:b/>
          <w:bCs/>
        </w:rPr>
        <w:t xml:space="preserve"> (c), Alzain*, </w:t>
      </w:r>
      <w:proofErr w:type="spellStart"/>
      <w:r w:rsidRPr="007434E6">
        <w:rPr>
          <w:b/>
          <w:bCs/>
        </w:rPr>
        <w:t>Axalid</w:t>
      </w:r>
      <w:proofErr w:type="spellEnd"/>
      <w:r w:rsidRPr="007434E6">
        <w:rPr>
          <w:b/>
          <w:bCs/>
        </w:rPr>
        <w:t>*, Lyrica*, Pregabalin*) POM-V, POM, CD SCHEDULE 3</w:t>
      </w:r>
    </w:p>
    <w:p w14:paraId="03CBE40C" w14:textId="77777777" w:rsidR="007434E6" w:rsidRPr="007434E6" w:rsidRDefault="007434E6" w:rsidP="007434E6">
      <w:pPr>
        <w:numPr>
          <w:ilvl w:val="0"/>
          <w:numId w:val="1"/>
        </w:numPr>
      </w:pPr>
      <w:r w:rsidRPr="007434E6">
        <w:rPr>
          <w:b/>
          <w:bCs/>
        </w:rPr>
        <w:t>Client Information Leaflet: </w:t>
      </w:r>
      <w:hyperlink r:id="rId5" w:history="1">
        <w:r w:rsidRPr="007434E6">
          <w:rPr>
            <w:rStyle w:val="Hyperlink"/>
            <w:b/>
            <w:bCs/>
          </w:rPr>
          <w:t>Pregabalin</w:t>
        </w:r>
      </w:hyperlink>
    </w:p>
    <w:p w14:paraId="3FF862BF" w14:textId="77777777" w:rsidR="007434E6" w:rsidRPr="007434E6" w:rsidRDefault="007434E6" w:rsidP="007434E6">
      <w:pPr>
        <w:numPr>
          <w:ilvl w:val="0"/>
          <w:numId w:val="1"/>
        </w:numPr>
        <w:rPr>
          <w:b/>
          <w:bCs/>
        </w:rPr>
      </w:pPr>
      <w:r w:rsidRPr="007434E6">
        <w:rPr>
          <w:b/>
          <w:bCs/>
        </w:rPr>
        <w:t>Formulations</w:t>
      </w:r>
    </w:p>
    <w:p w14:paraId="36F110AE" w14:textId="77777777" w:rsidR="007434E6" w:rsidRPr="007434E6" w:rsidRDefault="007434E6" w:rsidP="007434E6">
      <w:r w:rsidRPr="007434E6">
        <w:t>Oral: 25 mg, 50 mg, 75 mg, 100 mg, 150 mg, 200 mg, 225 mg, 300 mg tablets or capsules; 20 mg/ml oral solution; 50 mg/ml oral solution for cats (</w:t>
      </w:r>
      <w:proofErr w:type="spellStart"/>
      <w:r w:rsidRPr="007434E6">
        <w:t>Bonqat</w:t>
      </w:r>
      <w:proofErr w:type="spellEnd"/>
      <w:r w:rsidRPr="007434E6">
        <w:t>).</w:t>
      </w:r>
    </w:p>
    <w:p w14:paraId="5919AE23" w14:textId="77777777" w:rsidR="007434E6" w:rsidRPr="007434E6" w:rsidRDefault="007434E6" w:rsidP="007434E6">
      <w:pPr>
        <w:numPr>
          <w:ilvl w:val="0"/>
          <w:numId w:val="1"/>
        </w:numPr>
        <w:rPr>
          <w:b/>
          <w:bCs/>
        </w:rPr>
      </w:pPr>
      <w:r w:rsidRPr="007434E6">
        <w:rPr>
          <w:b/>
          <w:bCs/>
        </w:rPr>
        <w:t>Action</w:t>
      </w:r>
    </w:p>
    <w:p w14:paraId="493A6721" w14:textId="77777777" w:rsidR="007434E6" w:rsidRPr="007434E6" w:rsidRDefault="007434E6" w:rsidP="007434E6">
      <w:r w:rsidRPr="007434E6">
        <w:t>Similar mechanism of action to gabapentin; binds to voltage-dependent calcium channels in the CNS, reducing calcium influx and release of excitatory neurotransmitters such as glutamate and substance P. Also increases neuronal GABA levels. Pregabalin is 3–10 times more potent than gabapentin, owing to a greater affinity for the binding site, and generally has a longer duration of action.</w:t>
      </w:r>
    </w:p>
    <w:p w14:paraId="609344D6" w14:textId="77777777" w:rsidR="007434E6" w:rsidRPr="007434E6" w:rsidRDefault="007434E6" w:rsidP="007434E6">
      <w:hyperlink r:id="rId6" w:history="1">
        <w:r w:rsidRPr="007434E6">
          <w:rPr>
            <w:rStyle w:val="Hyperlink"/>
            <w:b/>
            <w:bCs/>
          </w:rPr>
          <w:t>More +</w:t>
        </w:r>
      </w:hyperlink>
    </w:p>
    <w:p w14:paraId="0CC4BC82" w14:textId="77777777" w:rsidR="007434E6" w:rsidRPr="007434E6" w:rsidRDefault="007434E6" w:rsidP="007434E6">
      <w:pPr>
        <w:numPr>
          <w:ilvl w:val="0"/>
          <w:numId w:val="1"/>
        </w:numPr>
        <w:rPr>
          <w:b/>
          <w:bCs/>
        </w:rPr>
      </w:pPr>
      <w:r w:rsidRPr="007434E6">
        <w:rPr>
          <w:b/>
          <w:bCs/>
        </w:rPr>
        <w:t>Use</w:t>
      </w:r>
    </w:p>
    <w:p w14:paraId="728076E1" w14:textId="77777777" w:rsidR="007434E6" w:rsidRPr="007434E6" w:rsidRDefault="007434E6" w:rsidP="007434E6">
      <w:pPr>
        <w:numPr>
          <w:ilvl w:val="1"/>
          <w:numId w:val="1"/>
        </w:numPr>
      </w:pPr>
      <w:r w:rsidRPr="007434E6">
        <w:t>Reduction of acute anxiety and fear associated with transportation and veterinary visits in cats.</w:t>
      </w:r>
    </w:p>
    <w:p w14:paraId="455D83A8" w14:textId="77777777" w:rsidR="007434E6" w:rsidRPr="007434E6" w:rsidRDefault="007434E6" w:rsidP="007434E6">
      <w:pPr>
        <w:numPr>
          <w:ilvl w:val="1"/>
          <w:numId w:val="1"/>
        </w:numPr>
      </w:pPr>
      <w:r w:rsidRPr="007434E6">
        <w:t>Adjunctive therapy in the treatment of epileptic seizures refractory to conventional treatment.</w:t>
      </w:r>
    </w:p>
    <w:p w14:paraId="2F90AFDB" w14:textId="77777777" w:rsidR="007434E6" w:rsidRPr="007434E6" w:rsidRDefault="007434E6" w:rsidP="007434E6">
      <w:pPr>
        <w:numPr>
          <w:ilvl w:val="1"/>
          <w:numId w:val="1"/>
        </w:numPr>
      </w:pPr>
      <w:r w:rsidRPr="007434E6">
        <w:t>Treatment of neuropathic pain.</w:t>
      </w:r>
    </w:p>
    <w:p w14:paraId="5CB726A5" w14:textId="77777777" w:rsidR="007434E6" w:rsidRPr="007434E6" w:rsidRDefault="007434E6" w:rsidP="007434E6">
      <w:r w:rsidRPr="007434E6">
        <w:t xml:space="preserve">Pregabalin seems to be well absorbed after oral administration in dogs and cats and can reach serum levels shown to be effective in humans with neuropathic pain. The longer half-life of pregabalin in cats suggests that a dosing schedule of every 12 hours or more may be appropriate, which may be an advantage compared with gabapentin but might lead to long-term accumulation with continued use. Do not discontinue abruptly if using on a </w:t>
      </w:r>
      <w:proofErr w:type="gramStart"/>
      <w:r w:rsidRPr="007434E6">
        <w:t>longer term</w:t>
      </w:r>
      <w:proofErr w:type="gramEnd"/>
      <w:r w:rsidRPr="007434E6">
        <w:t xml:space="preserve"> basis (e.g. epilepsy).</w:t>
      </w:r>
    </w:p>
    <w:p w14:paraId="795269B8" w14:textId="77777777" w:rsidR="007434E6" w:rsidRPr="007434E6" w:rsidRDefault="007434E6" w:rsidP="007434E6">
      <w:hyperlink r:id="rId7" w:history="1">
        <w:r w:rsidRPr="007434E6">
          <w:rPr>
            <w:rStyle w:val="Hyperlink"/>
            <w:b/>
            <w:bCs/>
          </w:rPr>
          <w:t>More +</w:t>
        </w:r>
      </w:hyperlink>
    </w:p>
    <w:p w14:paraId="69AEB99E" w14:textId="77777777" w:rsidR="007434E6" w:rsidRPr="007434E6" w:rsidRDefault="007434E6" w:rsidP="007434E6">
      <w:pPr>
        <w:numPr>
          <w:ilvl w:val="0"/>
          <w:numId w:val="1"/>
        </w:numPr>
        <w:rPr>
          <w:b/>
          <w:bCs/>
        </w:rPr>
      </w:pPr>
      <w:r w:rsidRPr="007434E6">
        <w:rPr>
          <w:b/>
          <w:bCs/>
        </w:rPr>
        <w:t>DOSES</w:t>
      </w:r>
    </w:p>
    <w:p w14:paraId="6F13D350" w14:textId="77777777" w:rsidR="007434E6" w:rsidRPr="007434E6" w:rsidRDefault="007434E6" w:rsidP="007434E6">
      <w:pPr>
        <w:numPr>
          <w:ilvl w:val="1"/>
          <w:numId w:val="1"/>
        </w:numPr>
      </w:pPr>
      <w:r w:rsidRPr="007434E6">
        <w:rPr>
          <w:b/>
          <w:bCs/>
        </w:rPr>
        <w:t>Dogs:</w:t>
      </w:r>
    </w:p>
    <w:p w14:paraId="669E99FF" w14:textId="77777777" w:rsidR="007434E6" w:rsidRPr="007434E6" w:rsidRDefault="007434E6" w:rsidP="007434E6">
      <w:pPr>
        <w:numPr>
          <w:ilvl w:val="2"/>
          <w:numId w:val="1"/>
        </w:numPr>
      </w:pPr>
      <w:r w:rsidRPr="007434E6">
        <w:t xml:space="preserve">For refractory epilepsy: 3–4 mg/kg </w:t>
      </w:r>
      <w:proofErr w:type="spellStart"/>
      <w:r w:rsidRPr="007434E6">
        <w:t>p.o.</w:t>
      </w:r>
      <w:proofErr w:type="spellEnd"/>
      <w:r w:rsidRPr="007434E6">
        <w:t xml:space="preserve"> q8h, starting at 2 mg/kg and gradually increasing.</w:t>
      </w:r>
    </w:p>
    <w:p w14:paraId="6D86C83D" w14:textId="77777777" w:rsidR="007434E6" w:rsidRPr="007434E6" w:rsidRDefault="007434E6" w:rsidP="007434E6">
      <w:pPr>
        <w:numPr>
          <w:ilvl w:val="2"/>
          <w:numId w:val="1"/>
        </w:numPr>
      </w:pPr>
      <w:proofErr w:type="spellStart"/>
      <w:r w:rsidRPr="007434E6">
        <w:t>Forneuropathic</w:t>
      </w:r>
      <w:proofErr w:type="spellEnd"/>
      <w:r w:rsidRPr="007434E6">
        <w:t xml:space="preserve"> pain: 4 mg/kg </w:t>
      </w:r>
      <w:proofErr w:type="spellStart"/>
      <w:r w:rsidRPr="007434E6">
        <w:t>p.o.</w:t>
      </w:r>
      <w:proofErr w:type="spellEnd"/>
      <w:r w:rsidRPr="007434E6">
        <w:t xml:space="preserve"> q12h is commonly used, though higher doses of 13–19 mg/kg </w:t>
      </w:r>
      <w:proofErr w:type="spellStart"/>
      <w:r w:rsidRPr="007434E6">
        <w:t>p.o.</w:t>
      </w:r>
      <w:proofErr w:type="spellEnd"/>
      <w:r w:rsidRPr="007434E6">
        <w:t xml:space="preserve"> q12h have been reported in dogs </w:t>
      </w:r>
      <w:r w:rsidRPr="007434E6">
        <w:lastRenderedPageBreak/>
        <w:t>with central neuropathic pain, with an increased risk of sedation and ataxia.</w:t>
      </w:r>
    </w:p>
    <w:p w14:paraId="66BCCEFC" w14:textId="77777777" w:rsidR="007434E6" w:rsidRPr="007434E6" w:rsidRDefault="007434E6" w:rsidP="007434E6">
      <w:pPr>
        <w:numPr>
          <w:ilvl w:val="2"/>
          <w:numId w:val="1"/>
        </w:numPr>
      </w:pPr>
      <w:r w:rsidRPr="007434E6">
        <w:t xml:space="preserve">For postoperative spinal pain: 4 mg/kg </w:t>
      </w:r>
      <w:proofErr w:type="spellStart"/>
      <w:r w:rsidRPr="007434E6">
        <w:t>p.o.</w:t>
      </w:r>
      <w:proofErr w:type="spellEnd"/>
      <w:r w:rsidRPr="007434E6">
        <w:t xml:space="preserve"> q8h, starting 1 hour preoperatively and continuing for 5 days.</w:t>
      </w:r>
    </w:p>
    <w:p w14:paraId="745D7914" w14:textId="77777777" w:rsidR="007434E6" w:rsidRPr="007434E6" w:rsidRDefault="007434E6" w:rsidP="007434E6">
      <w:pPr>
        <w:numPr>
          <w:ilvl w:val="1"/>
          <w:numId w:val="1"/>
        </w:numPr>
      </w:pPr>
      <w:r w:rsidRPr="007434E6">
        <w:rPr>
          <w:b/>
          <w:bCs/>
        </w:rPr>
        <w:t>Cats:</w:t>
      </w:r>
    </w:p>
    <w:p w14:paraId="40FAE4CF" w14:textId="77777777" w:rsidR="007434E6" w:rsidRPr="007434E6" w:rsidRDefault="007434E6" w:rsidP="007434E6">
      <w:pPr>
        <w:numPr>
          <w:ilvl w:val="2"/>
          <w:numId w:val="1"/>
        </w:numPr>
      </w:pPr>
      <w:r w:rsidRPr="007434E6">
        <w:t xml:space="preserve">For anxiolytic properties, the recommended dose is 5 mg/kg approximately 1.5 hours before the event (approximately 50% of cats have a good or better response). This is considerably higher than the longer term 'off-licence' use of 1–3 mg/kg </w:t>
      </w:r>
      <w:proofErr w:type="spellStart"/>
      <w:r w:rsidRPr="007434E6">
        <w:t>p.o.</w:t>
      </w:r>
      <w:proofErr w:type="spellEnd"/>
      <w:r w:rsidRPr="007434E6">
        <w:t xml:space="preserve"> q12h (limited evidence).</w:t>
      </w:r>
    </w:p>
    <w:p w14:paraId="1740F97B" w14:textId="77777777" w:rsidR="00281ECE" w:rsidRDefault="00281ECE"/>
    <w:sectPr w:rsidR="00281E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90B73"/>
    <w:multiLevelType w:val="multilevel"/>
    <w:tmpl w:val="CAF0EA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5232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4E6"/>
    <w:rsid w:val="00281ECE"/>
    <w:rsid w:val="007434E6"/>
    <w:rsid w:val="008137C7"/>
    <w:rsid w:val="00A62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9B29C"/>
  <w15:chartTrackingRefBased/>
  <w15:docId w15:val="{14786B2B-731F-4DC3-9CD2-8480DC62C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34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34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34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34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34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34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34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34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34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34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34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34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34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34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34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34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34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34E6"/>
    <w:rPr>
      <w:rFonts w:eastAsiaTheme="majorEastAsia" w:cstheme="majorBidi"/>
      <w:color w:val="272727" w:themeColor="text1" w:themeTint="D8"/>
    </w:rPr>
  </w:style>
  <w:style w:type="paragraph" w:styleId="Title">
    <w:name w:val="Title"/>
    <w:basedOn w:val="Normal"/>
    <w:next w:val="Normal"/>
    <w:link w:val="TitleChar"/>
    <w:uiPriority w:val="10"/>
    <w:qFormat/>
    <w:rsid w:val="007434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34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34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34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34E6"/>
    <w:pPr>
      <w:spacing w:before="160"/>
      <w:jc w:val="center"/>
    </w:pPr>
    <w:rPr>
      <w:i/>
      <w:iCs/>
      <w:color w:val="404040" w:themeColor="text1" w:themeTint="BF"/>
    </w:rPr>
  </w:style>
  <w:style w:type="character" w:customStyle="1" w:styleId="QuoteChar">
    <w:name w:val="Quote Char"/>
    <w:basedOn w:val="DefaultParagraphFont"/>
    <w:link w:val="Quote"/>
    <w:uiPriority w:val="29"/>
    <w:rsid w:val="007434E6"/>
    <w:rPr>
      <w:i/>
      <w:iCs/>
      <w:color w:val="404040" w:themeColor="text1" w:themeTint="BF"/>
    </w:rPr>
  </w:style>
  <w:style w:type="paragraph" w:styleId="ListParagraph">
    <w:name w:val="List Paragraph"/>
    <w:basedOn w:val="Normal"/>
    <w:uiPriority w:val="34"/>
    <w:qFormat/>
    <w:rsid w:val="007434E6"/>
    <w:pPr>
      <w:ind w:left="720"/>
      <w:contextualSpacing/>
    </w:pPr>
  </w:style>
  <w:style w:type="character" w:styleId="IntenseEmphasis">
    <w:name w:val="Intense Emphasis"/>
    <w:basedOn w:val="DefaultParagraphFont"/>
    <w:uiPriority w:val="21"/>
    <w:qFormat/>
    <w:rsid w:val="007434E6"/>
    <w:rPr>
      <w:i/>
      <w:iCs/>
      <w:color w:val="0F4761" w:themeColor="accent1" w:themeShade="BF"/>
    </w:rPr>
  </w:style>
  <w:style w:type="paragraph" w:styleId="IntenseQuote">
    <w:name w:val="Intense Quote"/>
    <w:basedOn w:val="Normal"/>
    <w:next w:val="Normal"/>
    <w:link w:val="IntenseQuoteChar"/>
    <w:uiPriority w:val="30"/>
    <w:qFormat/>
    <w:rsid w:val="007434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34E6"/>
    <w:rPr>
      <w:i/>
      <w:iCs/>
      <w:color w:val="0F4761" w:themeColor="accent1" w:themeShade="BF"/>
    </w:rPr>
  </w:style>
  <w:style w:type="character" w:styleId="IntenseReference">
    <w:name w:val="Intense Reference"/>
    <w:basedOn w:val="DefaultParagraphFont"/>
    <w:uiPriority w:val="32"/>
    <w:qFormat/>
    <w:rsid w:val="007434E6"/>
    <w:rPr>
      <w:b/>
      <w:bCs/>
      <w:smallCaps/>
      <w:color w:val="0F4761" w:themeColor="accent1" w:themeShade="BF"/>
      <w:spacing w:val="5"/>
    </w:rPr>
  </w:style>
  <w:style w:type="character" w:styleId="Hyperlink">
    <w:name w:val="Hyperlink"/>
    <w:basedOn w:val="DefaultParagraphFont"/>
    <w:uiPriority w:val="99"/>
    <w:unhideWhenUsed/>
    <w:rsid w:val="007434E6"/>
    <w:rPr>
      <w:color w:val="467886" w:themeColor="hyperlink"/>
      <w:u w:val="single"/>
    </w:rPr>
  </w:style>
  <w:style w:type="character" w:styleId="UnresolvedMention">
    <w:name w:val="Unresolved Mention"/>
    <w:basedOn w:val="DefaultParagraphFont"/>
    <w:uiPriority w:val="99"/>
    <w:semiHidden/>
    <w:unhideWhenUsed/>
    <w:rsid w:val="007434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0)" TargetMode="External"/><Relationship Id="rId5" Type="http://schemas.openxmlformats.org/officeDocument/2006/relationships/hyperlink" Target="https://www.bsavalibrary.com/content/cil/medicines/pregabal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335</Words>
  <Characters>1911</Characters>
  <Application>Microsoft Office Word</Application>
  <DocSecurity>0</DocSecurity>
  <Lines>15</Lines>
  <Paragraphs>4</Paragraphs>
  <ScaleCrop>false</ScaleCrop>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Reynolds</dc:creator>
  <cp:keywords/>
  <dc:description/>
  <cp:lastModifiedBy>Becky Reynolds</cp:lastModifiedBy>
  <cp:revision>1</cp:revision>
  <dcterms:created xsi:type="dcterms:W3CDTF">2026-04-28T15:01:00Z</dcterms:created>
  <dcterms:modified xsi:type="dcterms:W3CDTF">2026-04-28T15:03:00Z</dcterms:modified>
</cp:coreProperties>
</file>